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before="113" w:after="113"/>
        <w:ind w:left="113" w:right="113" w:hanging="0"/>
        <w:jc w:val="left"/>
        <w:rPr>
          <w:highlight w:val="lightGray"/>
        </w:rPr>
      </w:pPr>
      <w:r>
        <w:rPr>
          <w:highlight w:val="lightGray"/>
        </w:rPr>
        <w:t>Files\\Denver Post_2012_06_Insurance claims begin to pour in - § 1 reference coded [ 5.84% Coverage]</w:t>
      </w:r>
    </w:p>
    <w:p>
      <w:pPr>
        <w:pStyle w:val="TextBody"/>
        <w:bidi w:val="0"/>
        <w:spacing w:before="113" w:after="113"/>
        <w:ind w:left="113" w:right="113" w:hanging="0"/>
        <w:jc w:val="left"/>
        <w:rPr>
          <w:highlight w:val="lightGray"/>
        </w:rPr>
      </w:pPr>
      <w:r>
        <w:rPr>
          <w:highlight w:val="lightGray"/>
        </w:rPr>
        <w:t>Reference 1 - 5.84% Coverage</w:t>
      </w:r>
    </w:p>
    <w:p>
      <w:pPr>
        <w:pStyle w:val="TextBody"/>
        <w:bidi w:val="0"/>
        <w:spacing w:before="0" w:after="0"/>
        <w:jc w:val="left"/>
        <w:rPr/>
      </w:pPr>
      <w:r>
        <w:rPr/>
        <w:t xml:space="preserve">Insurance experts said the fire serves as a grim reminder to homeowners to keep their coverage updated. </w:t>
        <w:br/>
        <w:t>"The majority of people have insurance on their permanent primary residence because it is required for a mortgage. The gaps tend to exist with secondary homes or mountain cabins that are paid off and may be less expensive," said Carole Walker, executive director of the Rocky Mountain Insurance Information Association.</w:t>
      </w:r>
    </w:p>
    <w:sectPr>
      <w:type w:val="nextPage"/>
      <w:pgSz w:w="12240" w:h="15840"/>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SimSun" w:cs="Lucida Sans"/>
      <w:color w:val="auto"/>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